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AAC2" w14:textId="6DEE6C0D" w:rsidR="00CE64B8" w:rsidRPr="00CE64B8" w:rsidRDefault="00CE64B8" w:rsidP="00CE64B8">
      <w:pPr>
        <w:pStyle w:val="Heading1"/>
        <w:rPr>
          <w:sz w:val="32"/>
          <w:szCs w:val="32"/>
        </w:rPr>
      </w:pPr>
      <w:bookmarkStart w:id="0" w:name="_Toc114654482"/>
      <w:bookmarkStart w:id="1" w:name="_Toc188442182"/>
      <w:r w:rsidRPr="00CE64B8">
        <w:rPr>
          <w:sz w:val="32"/>
          <w:szCs w:val="32"/>
        </w:rPr>
        <w:t>Books &amp; Supplies List</w:t>
      </w:r>
      <w:bookmarkEnd w:id="0"/>
      <w:bookmarkEnd w:id="1"/>
      <w:r w:rsidRPr="00CE64B8">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r>
      <w:r w:rsidR="004F0D3D">
        <w:rPr>
          <w:rFonts w:asciiTheme="minorHAnsi" w:hAnsiTheme="minorHAnsi" w:cstheme="minorHAnsi"/>
          <w:sz w:val="32"/>
          <w:szCs w:val="32"/>
        </w:rPr>
        <w:tab/>
        <w:t xml:space="preserve">   </w:t>
      </w:r>
      <w:r w:rsidR="004F0D3D" w:rsidRPr="004F0D3D">
        <w:rPr>
          <w:rFonts w:asciiTheme="minorHAnsi" w:hAnsiTheme="minorHAnsi" w:cstheme="minorHAnsi"/>
          <w:sz w:val="16"/>
          <w:szCs w:val="16"/>
        </w:rPr>
        <w:t>Prices are subject to change</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5047"/>
        <w:gridCol w:w="878"/>
      </w:tblGrid>
      <w:tr w:rsidR="00CE64B8" w:rsidRPr="00E72E6C" w14:paraId="21D2F244"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08009FDC" w14:textId="77777777" w:rsidR="00CE64B8" w:rsidRPr="00BC1AAD" w:rsidRDefault="00CE64B8" w:rsidP="00A34513">
            <w:pPr>
              <w:textAlignment w:val="baseline"/>
              <w:rPr>
                <w:sz w:val="24"/>
                <w:szCs w:val="24"/>
              </w:rPr>
            </w:pPr>
            <w:r w:rsidRPr="00BC1AAD">
              <w:rPr>
                <w:rFonts w:ascii="Calibri" w:hAnsi="Calibri" w:cs="Calibri"/>
                <w:b/>
                <w:bCs/>
                <w:sz w:val="24"/>
                <w:szCs w:val="24"/>
              </w:rPr>
              <w:t>Course</w:t>
            </w:r>
            <w:r w:rsidRPr="00BC1AAD">
              <w:rPr>
                <w:rFonts w:ascii="Calibri" w:hAnsi="Calibri" w:cs="Calibri"/>
                <w:sz w:val="24"/>
                <w:szCs w:val="24"/>
              </w:rPr>
              <w: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1B016F90" w14:textId="77777777" w:rsidR="00CE64B8" w:rsidRPr="00BC1AAD" w:rsidRDefault="00CE64B8" w:rsidP="00A34513">
            <w:pPr>
              <w:textAlignment w:val="baseline"/>
              <w:rPr>
                <w:sz w:val="24"/>
                <w:szCs w:val="24"/>
              </w:rPr>
            </w:pPr>
            <w:r w:rsidRPr="00BC1AAD">
              <w:rPr>
                <w:rFonts w:ascii="Calibri" w:hAnsi="Calibri" w:cs="Calibri"/>
                <w:b/>
                <w:bCs/>
                <w:sz w:val="24"/>
                <w:szCs w:val="24"/>
              </w:rPr>
              <w:t>Required Books </w:t>
            </w:r>
            <w:r w:rsidRPr="00BC1AAD">
              <w:rPr>
                <w:rFonts w:ascii="Calibri" w:hAnsi="Calibri" w:cs="Calibri"/>
                <w:sz w:val="24"/>
                <w:szCs w:val="24"/>
              </w:rPr>
              <w:t> </w:t>
            </w:r>
          </w:p>
        </w:tc>
        <w:tc>
          <w:tcPr>
            <w:tcW w:w="878" w:type="dxa"/>
            <w:tcBorders>
              <w:top w:val="single" w:sz="6" w:space="0" w:color="auto"/>
              <w:left w:val="single" w:sz="6" w:space="0" w:color="auto"/>
              <w:bottom w:val="single" w:sz="6" w:space="0" w:color="auto"/>
              <w:right w:val="single" w:sz="6" w:space="0" w:color="auto"/>
            </w:tcBorders>
            <w:vAlign w:val="center"/>
            <w:hideMark/>
          </w:tcPr>
          <w:p w14:paraId="21219EB9" w14:textId="77777777" w:rsidR="00CE64B8" w:rsidRPr="00BC1AAD" w:rsidRDefault="00CE64B8" w:rsidP="00A34513">
            <w:pPr>
              <w:textAlignment w:val="baseline"/>
              <w:rPr>
                <w:sz w:val="24"/>
                <w:szCs w:val="24"/>
              </w:rPr>
            </w:pPr>
            <w:r w:rsidRPr="00BC1AAD">
              <w:rPr>
                <w:rFonts w:ascii="Calibri" w:hAnsi="Calibri" w:cs="Calibri"/>
                <w:b/>
                <w:bCs/>
                <w:sz w:val="24"/>
                <w:szCs w:val="24"/>
              </w:rPr>
              <w:t>Price</w:t>
            </w:r>
            <w:r w:rsidRPr="00BC1AAD">
              <w:rPr>
                <w:rFonts w:ascii="Calibri" w:hAnsi="Calibri" w:cs="Calibri"/>
                <w:sz w:val="24"/>
                <w:szCs w:val="24"/>
              </w:rPr>
              <w:t> </w:t>
            </w:r>
          </w:p>
        </w:tc>
      </w:tr>
      <w:tr w:rsidR="00CE64B8" w:rsidRPr="00E72E6C" w14:paraId="0F695291"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34A4EEBC" w14:textId="77777777" w:rsidR="00CE64B8" w:rsidRPr="00BC1AAD" w:rsidRDefault="00CE64B8" w:rsidP="00A34513">
            <w:pPr>
              <w:textAlignment w:val="baseline"/>
              <w:rPr>
                <w:sz w:val="22"/>
                <w:szCs w:val="22"/>
              </w:rPr>
            </w:pPr>
            <w:r w:rsidRPr="00BC1AAD">
              <w:rPr>
                <w:rFonts w:ascii="Calibri" w:hAnsi="Calibri" w:cs="Calibri"/>
                <w:sz w:val="22"/>
                <w:szCs w:val="22"/>
              </w:rPr>
              <w:t>A101 Medical Terms; A102 Bones; A103 Structural Kinesiology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218EDD37" w14:textId="77777777" w:rsidR="00CE64B8" w:rsidRDefault="00CE64B8" w:rsidP="00A34513">
            <w:pPr>
              <w:textAlignment w:val="baseline"/>
              <w:rPr>
                <w:rFonts w:ascii="Calibri" w:hAnsi="Calibri" w:cs="Calibri"/>
                <w:sz w:val="22"/>
                <w:szCs w:val="22"/>
              </w:rPr>
            </w:pPr>
            <w:r w:rsidRPr="00BC1AAD">
              <w:rPr>
                <w:rFonts w:ascii="Calibri" w:hAnsi="Calibri" w:cs="Calibri"/>
                <w:sz w:val="22"/>
                <w:szCs w:val="22"/>
              </w:rPr>
              <w:t>Trail Guide to the Body, 6</w:t>
            </w:r>
            <w:r w:rsidRPr="00BC1AAD">
              <w:rPr>
                <w:rFonts w:ascii="Calibri" w:hAnsi="Calibri" w:cs="Calibri"/>
                <w:sz w:val="22"/>
                <w:szCs w:val="22"/>
                <w:vertAlign w:val="superscript"/>
              </w:rPr>
              <w:t>th</w:t>
            </w:r>
            <w:r w:rsidRPr="00BC1AAD">
              <w:rPr>
                <w:rFonts w:ascii="Calibri" w:hAnsi="Calibri" w:cs="Calibri"/>
                <w:sz w:val="22"/>
                <w:szCs w:val="22"/>
              </w:rPr>
              <w:t xml:space="preserve"> Ed (Hard Copy Only) -Andrew Biel </w:t>
            </w:r>
          </w:p>
          <w:p w14:paraId="36678431" w14:textId="3DA325DC" w:rsidR="00A10487" w:rsidRPr="00BC1AAD" w:rsidRDefault="00A10487" w:rsidP="00A34513">
            <w:pPr>
              <w:textAlignment w:val="baseline"/>
              <w:rPr>
                <w:sz w:val="22"/>
                <w:szCs w:val="22"/>
              </w:rPr>
            </w:pPr>
            <w:r>
              <w:rPr>
                <w:rFonts w:ascii="Calibri" w:hAnsi="Calibri" w:cs="Calibri"/>
                <w:sz w:val="22"/>
                <w:szCs w:val="22"/>
              </w:rPr>
              <w:t>ISBN:</w:t>
            </w:r>
            <w:r w:rsidR="00DA57DD">
              <w:rPr>
                <w:rFonts w:ascii="Calibri" w:hAnsi="Calibri" w:cs="Calibri"/>
                <w:sz w:val="22"/>
                <w:szCs w:val="22"/>
              </w:rPr>
              <w:t>978-0-9987850-6-6-90000</w:t>
            </w:r>
          </w:p>
        </w:tc>
        <w:tc>
          <w:tcPr>
            <w:tcW w:w="878" w:type="dxa"/>
            <w:tcBorders>
              <w:top w:val="single" w:sz="6" w:space="0" w:color="auto"/>
              <w:left w:val="single" w:sz="6" w:space="0" w:color="auto"/>
              <w:bottom w:val="single" w:sz="6" w:space="0" w:color="auto"/>
              <w:right w:val="single" w:sz="6" w:space="0" w:color="auto"/>
            </w:tcBorders>
            <w:vAlign w:val="center"/>
            <w:hideMark/>
          </w:tcPr>
          <w:p w14:paraId="3C471E7C" w14:textId="77777777" w:rsidR="00CE64B8" w:rsidRPr="00BC1AAD" w:rsidRDefault="00CE64B8" w:rsidP="00A34513">
            <w:pPr>
              <w:textAlignment w:val="baseline"/>
              <w:rPr>
                <w:sz w:val="22"/>
                <w:szCs w:val="22"/>
              </w:rPr>
            </w:pPr>
            <w:r w:rsidRPr="00BC1AAD">
              <w:rPr>
                <w:rFonts w:ascii="Calibri" w:hAnsi="Calibri" w:cs="Calibri"/>
                <w:sz w:val="22"/>
                <w:szCs w:val="22"/>
              </w:rPr>
              <w:t>$ 84.95 </w:t>
            </w:r>
          </w:p>
        </w:tc>
      </w:tr>
      <w:tr w:rsidR="00CE64B8" w:rsidRPr="00E72E6C" w14:paraId="0D1E2510"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56913E25" w14:textId="77777777" w:rsidR="00CE64B8" w:rsidRPr="00BC1AAD" w:rsidRDefault="00CE64B8" w:rsidP="00A34513">
            <w:pPr>
              <w:textAlignment w:val="baseline"/>
              <w:rPr>
                <w:sz w:val="22"/>
                <w:szCs w:val="22"/>
              </w:rPr>
            </w:pPr>
            <w:r w:rsidRPr="00BC1AAD">
              <w:rPr>
                <w:rFonts w:ascii="Calibri" w:hAnsi="Calibri" w:cs="Calibri"/>
                <w:sz w:val="22"/>
                <w:szCs w:val="22"/>
              </w:rPr>
              <w:t xml:space="preserve">A101 Medical </w:t>
            </w:r>
            <w:proofErr w:type="gramStart"/>
            <w:r w:rsidRPr="00BC1AAD">
              <w:rPr>
                <w:rFonts w:ascii="Calibri" w:hAnsi="Calibri" w:cs="Calibri"/>
                <w:sz w:val="22"/>
                <w:szCs w:val="22"/>
              </w:rPr>
              <w:t>Terms </w:t>
            </w:r>
            <w:r>
              <w:rPr>
                <w:rFonts w:ascii="Calibri" w:hAnsi="Calibri" w:cs="Calibri"/>
                <w:sz w:val="22"/>
                <w:szCs w:val="22"/>
              </w:rPr>
              <w:t>;</w:t>
            </w:r>
            <w:r w:rsidRPr="00BC1AAD">
              <w:rPr>
                <w:rFonts w:ascii="Calibri" w:hAnsi="Calibri" w:cs="Calibri"/>
                <w:sz w:val="22"/>
                <w:szCs w:val="22"/>
              </w:rPr>
              <w:t>A</w:t>
            </w:r>
            <w:proofErr w:type="gramEnd"/>
            <w:r w:rsidRPr="00BC1AAD">
              <w:rPr>
                <w:rFonts w:ascii="Calibri" w:hAnsi="Calibri" w:cs="Calibri"/>
                <w:sz w:val="22"/>
                <w:szCs w:val="22"/>
              </w:rPr>
              <w:t xml:space="preserve">102 </w:t>
            </w:r>
            <w:proofErr w:type="gramStart"/>
            <w:r w:rsidRPr="00BC1AAD">
              <w:rPr>
                <w:rFonts w:ascii="Calibri" w:hAnsi="Calibri" w:cs="Calibri"/>
                <w:sz w:val="22"/>
                <w:szCs w:val="22"/>
              </w:rPr>
              <w:t>Bones</w:t>
            </w:r>
            <w:r>
              <w:rPr>
                <w:rFonts w:ascii="Calibri" w:hAnsi="Calibri" w:cs="Calibri"/>
                <w:sz w:val="22"/>
                <w:szCs w:val="22"/>
              </w:rPr>
              <w:t>;</w:t>
            </w:r>
            <w:proofErr w:type="gramEnd"/>
            <w:r w:rsidRPr="00BC1AAD">
              <w:rPr>
                <w:rFonts w:ascii="Calibri" w:hAnsi="Calibri" w:cs="Calibri"/>
                <w:sz w:val="22"/>
                <w:szCs w:val="22"/>
              </w:rPr>
              <w:t> </w:t>
            </w:r>
          </w:p>
          <w:p w14:paraId="1D09F77F" w14:textId="77777777" w:rsidR="00CE64B8" w:rsidRPr="00BC1AAD" w:rsidRDefault="00CE64B8" w:rsidP="00A34513">
            <w:pPr>
              <w:textAlignment w:val="baseline"/>
              <w:rPr>
                <w:sz w:val="22"/>
                <w:szCs w:val="22"/>
              </w:rPr>
            </w:pPr>
            <w:r w:rsidRPr="00BC1AAD">
              <w:rPr>
                <w:rFonts w:ascii="Calibri" w:hAnsi="Calibri" w:cs="Calibri"/>
                <w:sz w:val="22"/>
                <w:szCs w:val="22"/>
              </w:rPr>
              <w:t>A103 Structural Kinesiology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7A90EA75" w14:textId="77777777" w:rsidR="00CE64B8" w:rsidRDefault="00CE64B8" w:rsidP="00A34513">
            <w:pPr>
              <w:textAlignment w:val="baseline"/>
              <w:rPr>
                <w:rFonts w:ascii="Calibri" w:hAnsi="Calibri" w:cs="Calibri"/>
                <w:sz w:val="22"/>
                <w:szCs w:val="22"/>
              </w:rPr>
            </w:pPr>
            <w:r w:rsidRPr="00BC1AAD">
              <w:rPr>
                <w:rFonts w:ascii="Calibri" w:hAnsi="Calibri" w:cs="Calibri"/>
                <w:sz w:val="22"/>
                <w:szCs w:val="22"/>
              </w:rPr>
              <w:t>Trail Guide Workbook, 6</w:t>
            </w:r>
            <w:r w:rsidRPr="00BC1AAD">
              <w:rPr>
                <w:rFonts w:ascii="Calibri" w:hAnsi="Calibri" w:cs="Calibri"/>
                <w:sz w:val="22"/>
                <w:szCs w:val="22"/>
                <w:vertAlign w:val="superscript"/>
              </w:rPr>
              <w:t>th</w:t>
            </w:r>
            <w:r w:rsidRPr="00BC1AAD">
              <w:rPr>
                <w:rFonts w:ascii="Calibri" w:hAnsi="Calibri" w:cs="Calibri"/>
                <w:sz w:val="22"/>
                <w:szCs w:val="22"/>
              </w:rPr>
              <w:t xml:space="preserve"> Ed (Hard Copy only)- Andrew Biel </w:t>
            </w:r>
          </w:p>
          <w:p w14:paraId="226885C0" w14:textId="289AE21E" w:rsidR="00A10487" w:rsidRPr="00BC1AAD" w:rsidRDefault="00A10487" w:rsidP="00A34513">
            <w:pPr>
              <w:textAlignment w:val="baseline"/>
              <w:rPr>
                <w:sz w:val="22"/>
                <w:szCs w:val="22"/>
              </w:rPr>
            </w:pPr>
            <w:r>
              <w:rPr>
                <w:rFonts w:ascii="Calibri" w:hAnsi="Calibri" w:cs="Calibri"/>
                <w:sz w:val="22"/>
                <w:szCs w:val="22"/>
              </w:rPr>
              <w:t>ISBN:</w:t>
            </w:r>
            <w:r w:rsidR="00DA57DD">
              <w:rPr>
                <w:rFonts w:ascii="Calibri" w:hAnsi="Calibri" w:cs="Calibri"/>
                <w:sz w:val="22"/>
                <w:szCs w:val="22"/>
              </w:rPr>
              <w:t>978-0-9974666-7-290000</w:t>
            </w:r>
          </w:p>
        </w:tc>
        <w:tc>
          <w:tcPr>
            <w:tcW w:w="878" w:type="dxa"/>
            <w:tcBorders>
              <w:top w:val="single" w:sz="6" w:space="0" w:color="auto"/>
              <w:left w:val="single" w:sz="6" w:space="0" w:color="auto"/>
              <w:bottom w:val="single" w:sz="6" w:space="0" w:color="auto"/>
              <w:right w:val="single" w:sz="6" w:space="0" w:color="auto"/>
            </w:tcBorders>
            <w:vAlign w:val="center"/>
            <w:hideMark/>
          </w:tcPr>
          <w:p w14:paraId="1EDFDC96" w14:textId="77777777" w:rsidR="00CE64B8" w:rsidRPr="00BC1AAD" w:rsidRDefault="00CE64B8" w:rsidP="00A34513">
            <w:pPr>
              <w:textAlignment w:val="baseline"/>
              <w:rPr>
                <w:sz w:val="22"/>
                <w:szCs w:val="22"/>
              </w:rPr>
            </w:pPr>
            <w:r w:rsidRPr="00BC1AAD">
              <w:rPr>
                <w:rFonts w:ascii="Calibri" w:hAnsi="Calibri" w:cs="Calibri"/>
                <w:sz w:val="22"/>
                <w:szCs w:val="22"/>
              </w:rPr>
              <w:t>$ 33.95 </w:t>
            </w:r>
          </w:p>
        </w:tc>
      </w:tr>
      <w:tr w:rsidR="00CE64B8" w:rsidRPr="00E72E6C" w14:paraId="4256CCC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58807DA0" w14:textId="77777777" w:rsidR="00CE64B8" w:rsidRPr="00BC1AAD" w:rsidRDefault="00CE64B8" w:rsidP="00A34513">
            <w:pPr>
              <w:textAlignment w:val="baseline"/>
              <w:rPr>
                <w:sz w:val="22"/>
                <w:szCs w:val="22"/>
              </w:rPr>
            </w:pPr>
            <w:r w:rsidRPr="00BC1AAD">
              <w:rPr>
                <w:rFonts w:ascii="Calibri" w:hAnsi="Calibri" w:cs="Calibri"/>
                <w:sz w:val="22"/>
                <w:szCs w:val="22"/>
              </w:rPr>
              <w:t>T107 Trigger Point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7BAE7694" w14:textId="77777777" w:rsidR="00CE64B8" w:rsidRDefault="00CE64B8" w:rsidP="00A34513">
            <w:pPr>
              <w:textAlignment w:val="baseline"/>
              <w:rPr>
                <w:rFonts w:ascii="Calibri" w:hAnsi="Calibri" w:cs="Calibri"/>
                <w:sz w:val="22"/>
                <w:szCs w:val="22"/>
              </w:rPr>
            </w:pPr>
            <w:r w:rsidRPr="00BC1AAD">
              <w:rPr>
                <w:rFonts w:ascii="Calibri" w:hAnsi="Calibri" w:cs="Calibri"/>
                <w:sz w:val="22"/>
                <w:szCs w:val="22"/>
              </w:rPr>
              <w:t>Text: Travell Myofascial Pain and Dysfunction-Joseph M. Donelly</w:t>
            </w:r>
          </w:p>
          <w:p w14:paraId="54604069" w14:textId="1627C90A" w:rsidR="00A10487" w:rsidRPr="00BC1AAD" w:rsidRDefault="00A10487" w:rsidP="00A34513">
            <w:pPr>
              <w:textAlignment w:val="baseline"/>
              <w:rPr>
                <w:sz w:val="22"/>
                <w:szCs w:val="22"/>
              </w:rPr>
            </w:pPr>
            <w:r>
              <w:rPr>
                <w:rFonts w:ascii="Calibri" w:hAnsi="Calibri" w:cs="Calibri"/>
                <w:sz w:val="22"/>
                <w:szCs w:val="22"/>
              </w:rPr>
              <w:t>ISBN</w:t>
            </w:r>
            <w:r w:rsidR="00DA57DD">
              <w:rPr>
                <w:rFonts w:ascii="Calibri" w:hAnsi="Calibri" w:cs="Calibri"/>
                <w:sz w:val="22"/>
                <w:szCs w:val="22"/>
              </w:rPr>
              <w:t>:978-0-7817-5560-3</w:t>
            </w:r>
          </w:p>
        </w:tc>
        <w:tc>
          <w:tcPr>
            <w:tcW w:w="878" w:type="dxa"/>
            <w:tcBorders>
              <w:top w:val="single" w:sz="6" w:space="0" w:color="auto"/>
              <w:left w:val="single" w:sz="6" w:space="0" w:color="auto"/>
              <w:bottom w:val="single" w:sz="6" w:space="0" w:color="auto"/>
              <w:right w:val="single" w:sz="6" w:space="0" w:color="auto"/>
            </w:tcBorders>
            <w:vAlign w:val="center"/>
            <w:hideMark/>
          </w:tcPr>
          <w:p w14:paraId="0B93DB75" w14:textId="77777777" w:rsidR="00CE64B8" w:rsidRPr="00BC1AAD" w:rsidRDefault="00CE64B8" w:rsidP="00A34513">
            <w:pPr>
              <w:textAlignment w:val="baseline"/>
              <w:rPr>
                <w:sz w:val="22"/>
                <w:szCs w:val="22"/>
              </w:rPr>
            </w:pPr>
            <w:r w:rsidRPr="00BC1AAD">
              <w:rPr>
                <w:rFonts w:ascii="Calibri" w:hAnsi="Calibri" w:cs="Calibri"/>
                <w:sz w:val="22"/>
                <w:szCs w:val="22"/>
              </w:rPr>
              <w:t>$189.99 </w:t>
            </w:r>
          </w:p>
        </w:tc>
      </w:tr>
      <w:tr w:rsidR="00CE64B8" w:rsidRPr="00E72E6C" w14:paraId="38CF3379"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16FACDC1" w14:textId="77777777" w:rsidR="00CE64B8" w:rsidRPr="00BC1AAD" w:rsidRDefault="00CE64B8" w:rsidP="00A34513">
            <w:pPr>
              <w:textAlignment w:val="baseline"/>
              <w:rPr>
                <w:b/>
                <w:bCs/>
                <w:sz w:val="24"/>
                <w:szCs w:val="24"/>
              </w:rPr>
            </w:pPr>
            <w:r w:rsidRPr="00BC1AAD">
              <w:rPr>
                <w:rFonts w:ascii="Calibri" w:hAnsi="Calibri" w:cs="Calibri"/>
                <w:b/>
                <w:bCs/>
                <w:sz w:val="22"/>
                <w:szCs w:val="22"/>
              </w:rPr>
              <w:t> </w:t>
            </w:r>
            <w:r>
              <w:rPr>
                <w:rFonts w:ascii="Calibri" w:hAnsi="Calibri" w:cs="Calibri"/>
                <w:b/>
                <w:bCs/>
                <w:sz w:val="24"/>
                <w:szCs w:val="24"/>
              </w:rPr>
              <w:t xml:space="preserve">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2EB42853" w14:textId="77777777" w:rsidR="00CE64B8" w:rsidRPr="00BC1AAD" w:rsidRDefault="00CE64B8" w:rsidP="00A34513">
            <w:pPr>
              <w:textAlignment w:val="baseline"/>
              <w:rPr>
                <w:sz w:val="22"/>
                <w:szCs w:val="22"/>
              </w:rPr>
            </w:pPr>
            <w:r w:rsidRPr="00BC1AAD">
              <w:rPr>
                <w:rFonts w:ascii="Calibri" w:hAnsi="Calibri" w:cs="Calibri"/>
                <w:sz w:val="22"/>
                <w:szCs w:val="22"/>
              </w:rPr>
              <w:t> </w:t>
            </w:r>
            <w:r w:rsidRPr="00BC1AAD">
              <w:rPr>
                <w:rFonts w:ascii="Calibri" w:hAnsi="Calibri" w:cs="Calibri"/>
                <w:b/>
                <w:bCs/>
                <w:sz w:val="24"/>
                <w:szCs w:val="24"/>
              </w:rPr>
              <w:t>R</w:t>
            </w:r>
            <w:r>
              <w:rPr>
                <w:rFonts w:ascii="Calibri" w:hAnsi="Calibri" w:cs="Calibri"/>
                <w:b/>
                <w:bCs/>
                <w:sz w:val="24"/>
                <w:szCs w:val="24"/>
              </w:rPr>
              <w:t>ecommended</w:t>
            </w:r>
          </w:p>
        </w:tc>
        <w:tc>
          <w:tcPr>
            <w:tcW w:w="878" w:type="dxa"/>
            <w:tcBorders>
              <w:top w:val="single" w:sz="6" w:space="0" w:color="auto"/>
              <w:left w:val="single" w:sz="6" w:space="0" w:color="auto"/>
              <w:bottom w:val="single" w:sz="6" w:space="0" w:color="auto"/>
              <w:right w:val="single" w:sz="6" w:space="0" w:color="auto"/>
            </w:tcBorders>
            <w:vAlign w:val="center"/>
            <w:hideMark/>
          </w:tcPr>
          <w:p w14:paraId="507BCF5E" w14:textId="77777777" w:rsidR="00CE64B8" w:rsidRPr="00BC1AAD" w:rsidRDefault="00CE64B8" w:rsidP="00A34513">
            <w:pPr>
              <w:textAlignment w:val="baseline"/>
              <w:rPr>
                <w:sz w:val="22"/>
                <w:szCs w:val="22"/>
              </w:rPr>
            </w:pPr>
            <w:r w:rsidRPr="00BC1AAD">
              <w:rPr>
                <w:rFonts w:ascii="Calibri" w:hAnsi="Calibri" w:cs="Calibri"/>
                <w:sz w:val="22"/>
                <w:szCs w:val="22"/>
              </w:rPr>
              <w:t> </w:t>
            </w:r>
          </w:p>
        </w:tc>
      </w:tr>
      <w:tr w:rsidR="00CE64B8" w:rsidRPr="00E72E6C" w14:paraId="20DF9F4D"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7FF67920" w14:textId="77777777" w:rsidR="00CE64B8" w:rsidRPr="00BC1AAD" w:rsidRDefault="00CE64B8" w:rsidP="00A34513">
            <w:pPr>
              <w:textAlignment w:val="baseline"/>
              <w:rPr>
                <w:sz w:val="22"/>
                <w:szCs w:val="22"/>
              </w:rPr>
            </w:pPr>
            <w:r w:rsidRPr="00BC1AAD">
              <w:rPr>
                <w:rFonts w:ascii="Calibri" w:hAnsi="Calibri" w:cs="Calibri"/>
                <w:sz w:val="22"/>
                <w:szCs w:val="22"/>
              </w:rPr>
              <w:t xml:space="preserve">TC101 Swedish Massage; A107 Pathology; T107 Trigger Point </w:t>
            </w:r>
          </w:p>
        </w:tc>
        <w:tc>
          <w:tcPr>
            <w:tcW w:w="5047" w:type="dxa"/>
            <w:tcBorders>
              <w:top w:val="single" w:sz="6" w:space="0" w:color="auto"/>
              <w:left w:val="single" w:sz="6" w:space="0" w:color="auto"/>
              <w:bottom w:val="single" w:sz="6" w:space="0" w:color="auto"/>
              <w:right w:val="single" w:sz="6" w:space="0" w:color="auto"/>
            </w:tcBorders>
            <w:vAlign w:val="center"/>
            <w:hideMark/>
          </w:tcPr>
          <w:p w14:paraId="2D91CE77" w14:textId="77777777" w:rsidR="00CE64B8" w:rsidRPr="00BC1AAD" w:rsidRDefault="00CE64B8" w:rsidP="00A34513">
            <w:pPr>
              <w:textAlignment w:val="baseline"/>
              <w:rPr>
                <w:sz w:val="22"/>
                <w:szCs w:val="22"/>
              </w:rPr>
            </w:pPr>
            <w:r w:rsidRPr="00BC1AAD">
              <w:rPr>
                <w:rFonts w:ascii="Calibri" w:hAnsi="Calibri" w:cs="Calibri"/>
                <w:sz w:val="22"/>
                <w:szCs w:val="22"/>
              </w:rPr>
              <w:t>Massage Therapists Guide to Pathology 7</w:t>
            </w:r>
            <w:r w:rsidRPr="00BC1AAD">
              <w:rPr>
                <w:rFonts w:ascii="Calibri" w:hAnsi="Calibri" w:cs="Calibri"/>
                <w:sz w:val="22"/>
                <w:szCs w:val="22"/>
                <w:vertAlign w:val="superscript"/>
              </w:rPr>
              <w:t>th</w:t>
            </w:r>
            <w:r w:rsidRPr="00BC1AAD">
              <w:rPr>
                <w:rFonts w:ascii="Calibri" w:hAnsi="Calibri" w:cs="Calibri"/>
                <w:sz w:val="22"/>
                <w:szCs w:val="22"/>
              </w:rPr>
              <w:t xml:space="preserve"> Ed- Werner</w:t>
            </w:r>
          </w:p>
        </w:tc>
        <w:tc>
          <w:tcPr>
            <w:tcW w:w="878" w:type="dxa"/>
            <w:tcBorders>
              <w:top w:val="single" w:sz="6" w:space="0" w:color="auto"/>
              <w:left w:val="single" w:sz="6" w:space="0" w:color="auto"/>
              <w:bottom w:val="single" w:sz="6" w:space="0" w:color="auto"/>
              <w:right w:val="single" w:sz="6" w:space="0" w:color="auto"/>
            </w:tcBorders>
            <w:vAlign w:val="center"/>
            <w:hideMark/>
          </w:tcPr>
          <w:p w14:paraId="4DAA7F39" w14:textId="77777777" w:rsidR="00CE64B8" w:rsidRPr="00BC1AAD" w:rsidRDefault="00CE64B8" w:rsidP="00A34513">
            <w:pPr>
              <w:textAlignment w:val="baseline"/>
              <w:rPr>
                <w:sz w:val="22"/>
                <w:szCs w:val="22"/>
              </w:rPr>
            </w:pPr>
            <w:r w:rsidRPr="00BC1AAD">
              <w:rPr>
                <w:rFonts w:ascii="Calibri" w:hAnsi="Calibri" w:cs="Calibri"/>
                <w:sz w:val="22"/>
                <w:szCs w:val="22"/>
              </w:rPr>
              <w:t>$ 86.95 </w:t>
            </w:r>
          </w:p>
        </w:tc>
      </w:tr>
      <w:tr w:rsidR="00CE64B8" w:rsidRPr="00E72E6C" w14:paraId="7305FBF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hideMark/>
          </w:tcPr>
          <w:p w14:paraId="3DEF0E89" w14:textId="77777777" w:rsidR="00CE64B8" w:rsidRPr="00DD0EBF" w:rsidRDefault="00CE64B8" w:rsidP="00A34513">
            <w:pPr>
              <w:textAlignment w:val="baseline"/>
              <w:rPr>
                <w:rFonts w:ascii="Calibri" w:hAnsi="Calibri" w:cs="Calibri"/>
                <w:sz w:val="22"/>
                <w:szCs w:val="22"/>
                <w:lang w:val="fr-FR"/>
              </w:rPr>
            </w:pPr>
            <w:r w:rsidRPr="00DD0EBF">
              <w:rPr>
                <w:rFonts w:ascii="Calibri" w:hAnsi="Calibri" w:cs="Calibri"/>
                <w:sz w:val="22"/>
                <w:szCs w:val="22"/>
                <w:lang w:val="fr-FR"/>
              </w:rPr>
              <w:t xml:space="preserve">T102 </w:t>
            </w:r>
            <w:proofErr w:type="spellStart"/>
            <w:proofErr w:type="gramStart"/>
            <w:r w:rsidRPr="00DD0EBF">
              <w:rPr>
                <w:rFonts w:ascii="Calibri" w:hAnsi="Calibri" w:cs="Calibri"/>
                <w:sz w:val="22"/>
                <w:szCs w:val="22"/>
                <w:lang w:val="fr-FR"/>
              </w:rPr>
              <w:t>Foundations</w:t>
            </w:r>
            <w:proofErr w:type="spellEnd"/>
            <w:r w:rsidRPr="00DD0EBF">
              <w:rPr>
                <w:rFonts w:ascii="Calibri" w:hAnsi="Calibri" w:cs="Calibri"/>
                <w:sz w:val="22"/>
                <w:szCs w:val="22"/>
                <w:lang w:val="fr-FR"/>
              </w:rPr>
              <w:t>;</w:t>
            </w:r>
            <w:proofErr w:type="gramEnd"/>
            <w:r w:rsidRPr="00DD0EBF">
              <w:rPr>
                <w:rFonts w:ascii="Calibri" w:hAnsi="Calibri" w:cs="Calibri"/>
                <w:sz w:val="22"/>
                <w:szCs w:val="22"/>
                <w:lang w:val="fr-FR"/>
              </w:rPr>
              <w:t xml:space="preserve"> T104 </w:t>
            </w:r>
            <w:proofErr w:type="spellStart"/>
            <w:r w:rsidRPr="00DD0EBF">
              <w:rPr>
                <w:rFonts w:ascii="Calibri" w:hAnsi="Calibri" w:cs="Calibri"/>
                <w:sz w:val="22"/>
                <w:szCs w:val="22"/>
                <w:lang w:val="fr-FR"/>
              </w:rPr>
              <w:t>Clinical</w:t>
            </w:r>
            <w:proofErr w:type="spellEnd"/>
            <w:r w:rsidRPr="00DD0EBF">
              <w:rPr>
                <w:rFonts w:ascii="Calibri" w:hAnsi="Calibri" w:cs="Calibri"/>
                <w:sz w:val="22"/>
                <w:szCs w:val="22"/>
                <w:lang w:val="fr-FR"/>
              </w:rPr>
              <w:t xml:space="preserve"> Essentials</w:t>
            </w:r>
          </w:p>
        </w:tc>
        <w:tc>
          <w:tcPr>
            <w:tcW w:w="5047" w:type="dxa"/>
            <w:tcBorders>
              <w:top w:val="single" w:sz="6" w:space="0" w:color="auto"/>
              <w:left w:val="single" w:sz="6" w:space="0" w:color="auto"/>
              <w:bottom w:val="single" w:sz="6" w:space="0" w:color="auto"/>
              <w:right w:val="single" w:sz="6" w:space="0" w:color="auto"/>
            </w:tcBorders>
            <w:vAlign w:val="center"/>
            <w:hideMark/>
          </w:tcPr>
          <w:p w14:paraId="170D7524" w14:textId="77777777" w:rsidR="00CE64B8" w:rsidRPr="00BC1AAD" w:rsidRDefault="00CE64B8" w:rsidP="00A34513">
            <w:pPr>
              <w:textAlignment w:val="baseline"/>
              <w:rPr>
                <w:sz w:val="22"/>
                <w:szCs w:val="22"/>
              </w:rPr>
            </w:pPr>
            <w:r w:rsidRPr="00BC1AAD">
              <w:rPr>
                <w:rFonts w:ascii="Calibri" w:hAnsi="Calibri" w:cs="Calibri"/>
                <w:sz w:val="22"/>
                <w:szCs w:val="22"/>
              </w:rPr>
              <w:t>Ethic of Touch 3</w:t>
            </w:r>
            <w:r w:rsidRPr="00BC1AAD">
              <w:rPr>
                <w:rFonts w:ascii="Calibri" w:hAnsi="Calibri" w:cs="Calibri"/>
                <w:sz w:val="22"/>
                <w:szCs w:val="22"/>
                <w:vertAlign w:val="superscript"/>
              </w:rPr>
              <w:t xml:space="preserve">rd </w:t>
            </w:r>
            <w:r w:rsidRPr="00BC1AAD">
              <w:rPr>
                <w:rFonts w:ascii="Calibri" w:hAnsi="Calibri" w:cs="Calibri"/>
                <w:sz w:val="22"/>
                <w:szCs w:val="22"/>
              </w:rPr>
              <w:t>Ed- Sohnen-Moe/Benjamin</w:t>
            </w:r>
          </w:p>
        </w:tc>
        <w:tc>
          <w:tcPr>
            <w:tcW w:w="878" w:type="dxa"/>
            <w:tcBorders>
              <w:top w:val="single" w:sz="6" w:space="0" w:color="auto"/>
              <w:left w:val="single" w:sz="6" w:space="0" w:color="auto"/>
              <w:bottom w:val="single" w:sz="6" w:space="0" w:color="auto"/>
              <w:right w:val="single" w:sz="6" w:space="0" w:color="auto"/>
            </w:tcBorders>
            <w:vAlign w:val="center"/>
            <w:hideMark/>
          </w:tcPr>
          <w:p w14:paraId="7A53919C" w14:textId="77777777" w:rsidR="00CE64B8" w:rsidRPr="00BC1AAD" w:rsidRDefault="00CE64B8" w:rsidP="00A34513">
            <w:pPr>
              <w:textAlignment w:val="baseline"/>
              <w:rPr>
                <w:sz w:val="22"/>
                <w:szCs w:val="22"/>
              </w:rPr>
            </w:pPr>
            <w:r w:rsidRPr="00BC1AAD">
              <w:rPr>
                <w:rFonts w:ascii="Calibri" w:hAnsi="Calibri" w:cs="Calibri"/>
                <w:sz w:val="22"/>
                <w:szCs w:val="22"/>
              </w:rPr>
              <w:t> $45.95</w:t>
            </w:r>
          </w:p>
        </w:tc>
      </w:tr>
      <w:tr w:rsidR="00CE64B8" w:rsidRPr="00E72E6C" w14:paraId="61F81B46"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47A01AF5"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 xml:space="preserve">A104 Functional; A102 Bones; A105 Neuromuscular Physiology </w:t>
            </w:r>
          </w:p>
        </w:tc>
        <w:tc>
          <w:tcPr>
            <w:tcW w:w="5047" w:type="dxa"/>
            <w:tcBorders>
              <w:top w:val="single" w:sz="6" w:space="0" w:color="auto"/>
              <w:left w:val="single" w:sz="6" w:space="0" w:color="auto"/>
              <w:bottom w:val="single" w:sz="6" w:space="0" w:color="auto"/>
              <w:right w:val="single" w:sz="6" w:space="0" w:color="auto"/>
            </w:tcBorders>
            <w:vAlign w:val="center"/>
          </w:tcPr>
          <w:p w14:paraId="6436F5F4"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Applied Anatomy &amp; Physiology for Manual Therapists 2</w:t>
            </w:r>
            <w:r w:rsidRPr="00BC1AAD">
              <w:rPr>
                <w:rFonts w:ascii="Calibri" w:hAnsi="Calibri" w:cs="Calibri"/>
                <w:sz w:val="22"/>
                <w:szCs w:val="22"/>
                <w:vertAlign w:val="superscript"/>
              </w:rPr>
              <w:t>nd</w:t>
            </w:r>
            <w:r w:rsidRPr="00BC1AAD">
              <w:rPr>
                <w:rFonts w:ascii="Calibri" w:hAnsi="Calibri" w:cs="Calibri"/>
                <w:sz w:val="22"/>
                <w:szCs w:val="22"/>
              </w:rPr>
              <w:t xml:space="preserve"> Ed -Archer/Nelson</w:t>
            </w:r>
          </w:p>
        </w:tc>
        <w:tc>
          <w:tcPr>
            <w:tcW w:w="878" w:type="dxa"/>
            <w:tcBorders>
              <w:top w:val="single" w:sz="6" w:space="0" w:color="auto"/>
              <w:left w:val="single" w:sz="6" w:space="0" w:color="auto"/>
              <w:bottom w:val="single" w:sz="6" w:space="0" w:color="auto"/>
              <w:right w:val="single" w:sz="6" w:space="0" w:color="auto"/>
            </w:tcBorders>
            <w:vAlign w:val="center"/>
          </w:tcPr>
          <w:p w14:paraId="2B868063"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$85.95</w:t>
            </w:r>
          </w:p>
        </w:tc>
      </w:tr>
      <w:tr w:rsidR="00CE64B8" w:rsidRPr="00E72E6C" w14:paraId="0FC8B4C7"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063B26F2"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 xml:space="preserve">T07 Trigger Point; A106 Postural Kinesiology  </w:t>
            </w:r>
          </w:p>
        </w:tc>
        <w:tc>
          <w:tcPr>
            <w:tcW w:w="5047" w:type="dxa"/>
            <w:tcBorders>
              <w:top w:val="single" w:sz="6" w:space="0" w:color="auto"/>
              <w:left w:val="single" w:sz="6" w:space="0" w:color="auto"/>
              <w:bottom w:val="single" w:sz="6" w:space="0" w:color="auto"/>
              <w:right w:val="single" w:sz="6" w:space="0" w:color="auto"/>
            </w:tcBorders>
            <w:vAlign w:val="center"/>
          </w:tcPr>
          <w:p w14:paraId="2651D594"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Anatomy Trains -Thomas Myers</w:t>
            </w:r>
          </w:p>
        </w:tc>
        <w:tc>
          <w:tcPr>
            <w:tcW w:w="878" w:type="dxa"/>
            <w:tcBorders>
              <w:top w:val="single" w:sz="6" w:space="0" w:color="auto"/>
              <w:left w:val="single" w:sz="6" w:space="0" w:color="auto"/>
              <w:bottom w:val="single" w:sz="6" w:space="0" w:color="auto"/>
              <w:right w:val="single" w:sz="6" w:space="0" w:color="auto"/>
            </w:tcBorders>
            <w:vAlign w:val="center"/>
          </w:tcPr>
          <w:p w14:paraId="2C7B4311"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$76.99</w:t>
            </w:r>
          </w:p>
        </w:tc>
      </w:tr>
      <w:tr w:rsidR="00CE64B8" w:rsidRPr="00E72E6C" w14:paraId="70A6B05F"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21CBE25A"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 xml:space="preserve">T105 Practice Building </w:t>
            </w:r>
          </w:p>
        </w:tc>
        <w:tc>
          <w:tcPr>
            <w:tcW w:w="5047" w:type="dxa"/>
            <w:tcBorders>
              <w:top w:val="single" w:sz="6" w:space="0" w:color="auto"/>
              <w:left w:val="single" w:sz="6" w:space="0" w:color="auto"/>
              <w:bottom w:val="single" w:sz="6" w:space="0" w:color="auto"/>
              <w:right w:val="single" w:sz="6" w:space="0" w:color="auto"/>
            </w:tcBorders>
            <w:vAlign w:val="center"/>
          </w:tcPr>
          <w:p w14:paraId="25B7690B"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Business Mystery 5</w:t>
            </w:r>
            <w:r w:rsidRPr="00BC1AAD">
              <w:rPr>
                <w:rFonts w:ascii="Calibri" w:hAnsi="Calibri" w:cs="Calibri"/>
                <w:sz w:val="22"/>
                <w:szCs w:val="22"/>
                <w:vertAlign w:val="superscript"/>
              </w:rPr>
              <w:t>th</w:t>
            </w:r>
            <w:r w:rsidRPr="00BC1AAD">
              <w:rPr>
                <w:rFonts w:ascii="Calibri" w:hAnsi="Calibri" w:cs="Calibri"/>
                <w:sz w:val="22"/>
                <w:szCs w:val="22"/>
              </w:rPr>
              <w:t xml:space="preserve"> Ed- Sohnen-Moe</w:t>
            </w:r>
          </w:p>
        </w:tc>
        <w:tc>
          <w:tcPr>
            <w:tcW w:w="878" w:type="dxa"/>
            <w:tcBorders>
              <w:top w:val="single" w:sz="6" w:space="0" w:color="auto"/>
              <w:left w:val="single" w:sz="6" w:space="0" w:color="auto"/>
              <w:bottom w:val="single" w:sz="6" w:space="0" w:color="auto"/>
              <w:right w:val="single" w:sz="6" w:space="0" w:color="auto"/>
            </w:tcBorders>
            <w:vAlign w:val="center"/>
          </w:tcPr>
          <w:p w14:paraId="08459661" w14:textId="77777777" w:rsidR="00CE64B8" w:rsidRPr="00BC1AAD" w:rsidRDefault="00CE64B8" w:rsidP="00A34513">
            <w:pPr>
              <w:textAlignment w:val="baseline"/>
              <w:rPr>
                <w:rFonts w:ascii="Calibri" w:hAnsi="Calibri" w:cs="Calibri"/>
                <w:sz w:val="22"/>
                <w:szCs w:val="22"/>
              </w:rPr>
            </w:pPr>
            <w:r w:rsidRPr="00BC1AAD">
              <w:rPr>
                <w:rFonts w:ascii="Calibri" w:hAnsi="Calibri" w:cs="Calibri"/>
                <w:sz w:val="22"/>
                <w:szCs w:val="22"/>
              </w:rPr>
              <w:t>$45.95</w:t>
            </w:r>
          </w:p>
        </w:tc>
      </w:tr>
      <w:tr w:rsidR="00CE64B8" w:rsidRPr="00E72E6C" w14:paraId="71172368" w14:textId="77777777" w:rsidTr="00A34513">
        <w:trPr>
          <w:trHeight w:val="300"/>
        </w:trPr>
        <w:tc>
          <w:tcPr>
            <w:tcW w:w="3405" w:type="dxa"/>
            <w:tcBorders>
              <w:top w:val="single" w:sz="6" w:space="0" w:color="auto"/>
              <w:left w:val="single" w:sz="6" w:space="0" w:color="auto"/>
              <w:bottom w:val="single" w:sz="6" w:space="0" w:color="auto"/>
              <w:right w:val="single" w:sz="6" w:space="0" w:color="auto"/>
            </w:tcBorders>
            <w:vAlign w:val="center"/>
          </w:tcPr>
          <w:p w14:paraId="45C92200" w14:textId="77777777" w:rsidR="00CE64B8" w:rsidRPr="00BC1AAD" w:rsidRDefault="00CE64B8" w:rsidP="00A34513">
            <w:pPr>
              <w:textAlignment w:val="baseline"/>
              <w:rPr>
                <w:rFonts w:ascii="Calibri" w:hAnsi="Calibri" w:cs="Calibri"/>
                <w:sz w:val="22"/>
                <w:szCs w:val="22"/>
              </w:rPr>
            </w:pPr>
            <w:r>
              <w:rPr>
                <w:rFonts w:ascii="Calibri" w:hAnsi="Calibri" w:cs="Calibri"/>
                <w:sz w:val="22"/>
                <w:szCs w:val="22"/>
              </w:rPr>
              <w:t xml:space="preserve">A102 Bones; </w:t>
            </w:r>
            <w:r w:rsidRPr="00BC1AAD">
              <w:rPr>
                <w:rFonts w:ascii="Calibri" w:hAnsi="Calibri" w:cs="Calibri"/>
                <w:sz w:val="22"/>
                <w:szCs w:val="22"/>
              </w:rPr>
              <w:t>A103 Structural Kinesiology</w:t>
            </w:r>
            <w:r>
              <w:rPr>
                <w:rFonts w:ascii="Calibri" w:hAnsi="Calibri" w:cs="Calibri"/>
                <w:sz w:val="22"/>
                <w:szCs w:val="22"/>
              </w:rPr>
              <w:t>; T103 NMT Trigger Point</w:t>
            </w:r>
          </w:p>
        </w:tc>
        <w:tc>
          <w:tcPr>
            <w:tcW w:w="5047" w:type="dxa"/>
            <w:tcBorders>
              <w:top w:val="single" w:sz="6" w:space="0" w:color="auto"/>
              <w:left w:val="single" w:sz="6" w:space="0" w:color="auto"/>
              <w:bottom w:val="single" w:sz="6" w:space="0" w:color="auto"/>
              <w:right w:val="single" w:sz="6" w:space="0" w:color="auto"/>
            </w:tcBorders>
            <w:vAlign w:val="center"/>
          </w:tcPr>
          <w:p w14:paraId="502A2CA5" w14:textId="77777777" w:rsidR="00CE64B8" w:rsidRDefault="00CE64B8" w:rsidP="00A3451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E01E60">
              <w:rPr>
                <w:rFonts w:asciiTheme="minorHAnsi" w:hAnsiTheme="minorHAnsi" w:cstheme="minorHAnsi"/>
                <w:sz w:val="22"/>
                <w:szCs w:val="22"/>
              </w:rPr>
              <w:t xml:space="preserve">Trail Guide to the Body </w:t>
            </w:r>
            <w:r>
              <w:rPr>
                <w:rFonts w:asciiTheme="minorHAnsi" w:hAnsiTheme="minorHAnsi" w:cstheme="minorHAnsi"/>
                <w:sz w:val="22"/>
                <w:szCs w:val="22"/>
              </w:rPr>
              <w:t>Flashcard Bones/Joints</w:t>
            </w:r>
          </w:p>
          <w:p w14:paraId="7CFF9D30" w14:textId="77777777" w:rsidR="00CE64B8" w:rsidRPr="00BC1AAD" w:rsidRDefault="00CE64B8" w:rsidP="00A34513">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Calibri" w:hAnsi="Calibri" w:cs="Calibri"/>
                <w:sz w:val="22"/>
                <w:szCs w:val="22"/>
              </w:rPr>
            </w:pPr>
            <w:r w:rsidRPr="00E01E60">
              <w:rPr>
                <w:rFonts w:asciiTheme="minorHAnsi" w:hAnsiTheme="minorHAnsi" w:cstheme="minorHAnsi"/>
                <w:sz w:val="22"/>
                <w:szCs w:val="22"/>
              </w:rPr>
              <w:t xml:space="preserve">Trail Guide to the Body </w:t>
            </w:r>
            <w:r>
              <w:rPr>
                <w:rFonts w:asciiTheme="minorHAnsi" w:hAnsiTheme="minorHAnsi" w:cstheme="minorHAnsi"/>
                <w:sz w:val="22"/>
                <w:szCs w:val="22"/>
              </w:rPr>
              <w:t xml:space="preserve">Flashcard Muscles </w:t>
            </w:r>
          </w:p>
        </w:tc>
        <w:tc>
          <w:tcPr>
            <w:tcW w:w="878" w:type="dxa"/>
            <w:tcBorders>
              <w:top w:val="single" w:sz="6" w:space="0" w:color="auto"/>
              <w:left w:val="single" w:sz="6" w:space="0" w:color="auto"/>
              <w:bottom w:val="single" w:sz="6" w:space="0" w:color="auto"/>
              <w:right w:val="single" w:sz="6" w:space="0" w:color="auto"/>
            </w:tcBorders>
            <w:vAlign w:val="center"/>
          </w:tcPr>
          <w:p w14:paraId="753E462D" w14:textId="77777777" w:rsidR="00CE64B8" w:rsidRPr="00BC1AAD" w:rsidRDefault="00CE64B8" w:rsidP="00A34513">
            <w:pPr>
              <w:textAlignment w:val="baseline"/>
              <w:rPr>
                <w:rFonts w:ascii="Calibri" w:hAnsi="Calibri" w:cs="Calibri"/>
                <w:sz w:val="22"/>
                <w:szCs w:val="22"/>
              </w:rPr>
            </w:pPr>
            <w:r>
              <w:rPr>
                <w:rFonts w:ascii="Calibri" w:hAnsi="Calibri" w:cs="Calibri"/>
                <w:sz w:val="22"/>
                <w:szCs w:val="22"/>
              </w:rPr>
              <w:t>$26.95</w:t>
            </w:r>
          </w:p>
        </w:tc>
      </w:tr>
    </w:tbl>
    <w:p w14:paraId="1FB63EC0" w14:textId="77777777" w:rsidR="00CE64B8"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b/>
          <w:sz w:val="22"/>
          <w:szCs w:val="22"/>
          <w:u w:val="single"/>
        </w:rPr>
      </w:pPr>
      <w:r w:rsidRPr="00FE40A5">
        <w:rPr>
          <w:rFonts w:asciiTheme="minorHAnsi" w:hAnsiTheme="minorHAnsi" w:cstheme="minorHAnsi"/>
          <w:b/>
          <w:sz w:val="22"/>
          <w:szCs w:val="22"/>
        </w:rPr>
        <w:t>It is recommended that students purchase the following:</w:t>
      </w:r>
    </w:p>
    <w:p w14:paraId="2D9209DE" w14:textId="77777777" w:rsidR="00CE64B8" w:rsidRPr="00FE40A5"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u w:val="single"/>
        </w:rPr>
      </w:pPr>
      <w:r w:rsidRPr="00FE40A5">
        <w:rPr>
          <w:rFonts w:asciiTheme="minorHAnsi" w:hAnsiTheme="minorHAnsi" w:cstheme="minorHAnsi"/>
          <w:sz w:val="22"/>
          <w:szCs w:val="22"/>
          <w:u w:val="single"/>
        </w:rPr>
        <w:t>Clinical Lab Hours</w:t>
      </w:r>
    </w:p>
    <w:p w14:paraId="20387FE4" w14:textId="07B779F0" w:rsidR="00CE64B8" w:rsidRPr="00CE64B8"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Linens/Blanket ($30-35</w:t>
      </w:r>
      <w:r w:rsidRPr="00A92890">
        <w:rPr>
          <w:rFonts w:asciiTheme="minorHAnsi" w:hAnsiTheme="minorHAnsi" w:cstheme="minorHAnsi"/>
          <w:sz w:val="22"/>
          <w:szCs w:val="22"/>
        </w:rPr>
        <w:t>)</w:t>
      </w:r>
      <w:r>
        <w:rPr>
          <w:rFonts w:asciiTheme="minorHAnsi" w:hAnsiTheme="minorHAnsi" w:cstheme="minorHAnsi"/>
          <w:sz w:val="22"/>
          <w:szCs w:val="22"/>
        </w:rPr>
        <w:t xml:space="preserve"> O</w:t>
      </w:r>
      <w:r w:rsidRPr="005C0399">
        <w:rPr>
          <w:rFonts w:asciiTheme="minorHAnsi" w:hAnsiTheme="minorHAnsi" w:cstheme="minorHAnsi"/>
          <w:sz w:val="22"/>
          <w:szCs w:val="22"/>
        </w:rPr>
        <w:t xml:space="preserve">ne set of linens (1 single fitted sheet, 1 single flat sheet, 4 pillowcases) and a blanket are required for technique class.  For Student Clinic, you will need </w:t>
      </w:r>
      <w:r w:rsidRPr="005C0399">
        <w:rPr>
          <w:rFonts w:asciiTheme="minorHAnsi" w:hAnsiTheme="minorHAnsi" w:cstheme="minorHAnsi"/>
          <w:b/>
          <w:sz w:val="22"/>
          <w:szCs w:val="22"/>
        </w:rPr>
        <w:t>three sets of linens and a blanket</w:t>
      </w:r>
      <w:r w:rsidRPr="005C0399">
        <w:rPr>
          <w:rFonts w:asciiTheme="minorHAnsi" w:hAnsiTheme="minorHAnsi" w:cstheme="minorHAnsi"/>
          <w:sz w:val="22"/>
          <w:szCs w:val="22"/>
        </w:rPr>
        <w:t>.  In total, we recommend 3-6 sets.</w:t>
      </w:r>
    </w:p>
    <w:p w14:paraId="328F0487" w14:textId="77777777" w:rsidR="00CE64B8" w:rsidRPr="006E7172"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Detergent ($15-30</w:t>
      </w:r>
      <w:r w:rsidRPr="00A92890">
        <w:rPr>
          <w:rFonts w:asciiTheme="minorHAnsi" w:hAnsiTheme="minorHAnsi" w:cstheme="minorHAnsi"/>
          <w:sz w:val="22"/>
          <w:szCs w:val="22"/>
        </w:rPr>
        <w:t>)</w:t>
      </w:r>
      <w:r>
        <w:rPr>
          <w:rFonts w:asciiTheme="minorHAnsi" w:hAnsiTheme="minorHAnsi" w:cstheme="minorHAnsi"/>
          <w:sz w:val="22"/>
          <w:szCs w:val="22"/>
        </w:rPr>
        <w:t xml:space="preserve"> Y</w:t>
      </w:r>
      <w:r w:rsidRPr="006E7172">
        <w:rPr>
          <w:rFonts w:asciiTheme="minorHAnsi" w:hAnsiTheme="minorHAnsi" w:cstheme="minorHAnsi"/>
          <w:sz w:val="22"/>
          <w:szCs w:val="22"/>
        </w:rPr>
        <w:t>ou may want to consider purchasing a hypo-allergenic brand.</w:t>
      </w:r>
    </w:p>
    <w:p w14:paraId="33AD7973" w14:textId="77777777" w:rsidR="00CE64B8" w:rsidRPr="00753C44"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contextualSpacing/>
        <w:rPr>
          <w:rFonts w:asciiTheme="minorHAnsi" w:hAnsiTheme="minorHAnsi" w:cstheme="minorHAnsi"/>
          <w:sz w:val="18"/>
          <w:szCs w:val="18"/>
        </w:rPr>
      </w:pPr>
    </w:p>
    <w:p w14:paraId="2118F26B" w14:textId="77777777" w:rsidR="00CE64B8" w:rsidRPr="006E7172"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Pillows ($5-$10</w:t>
      </w:r>
      <w:r w:rsidRPr="00A92890">
        <w:rPr>
          <w:rFonts w:asciiTheme="minorHAnsi" w:hAnsiTheme="minorHAnsi" w:cstheme="minorHAnsi"/>
          <w:sz w:val="22"/>
          <w:szCs w:val="22"/>
        </w:rPr>
        <w:t>)</w:t>
      </w:r>
      <w:r>
        <w:rPr>
          <w:rFonts w:asciiTheme="minorHAnsi" w:hAnsiTheme="minorHAnsi" w:cstheme="minorHAnsi"/>
          <w:sz w:val="22"/>
          <w:szCs w:val="22"/>
        </w:rPr>
        <w:t xml:space="preserve"> Y</w:t>
      </w:r>
      <w:r w:rsidRPr="006E7172">
        <w:rPr>
          <w:rFonts w:asciiTheme="minorHAnsi" w:hAnsiTheme="minorHAnsi" w:cstheme="minorHAnsi"/>
          <w:sz w:val="22"/>
          <w:szCs w:val="22"/>
        </w:rPr>
        <w:t>ou will need one regular size and one small pillow for events.</w:t>
      </w:r>
    </w:p>
    <w:p w14:paraId="5518AAD7" w14:textId="77777777" w:rsidR="00CE64B8" w:rsidRPr="00753C44"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contextualSpacing/>
        <w:rPr>
          <w:rFonts w:asciiTheme="minorHAnsi" w:hAnsiTheme="minorHAnsi" w:cstheme="minorHAnsi"/>
          <w:sz w:val="18"/>
          <w:szCs w:val="18"/>
        </w:rPr>
      </w:pPr>
    </w:p>
    <w:p w14:paraId="0AE6AF32" w14:textId="33BE3075" w:rsidR="00CE64B8" w:rsidRPr="007779F3"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Lubricant ($30-$50)</w:t>
      </w:r>
      <w:r>
        <w:rPr>
          <w:rFonts w:asciiTheme="minorHAnsi" w:hAnsiTheme="minorHAnsi" w:cstheme="minorHAnsi"/>
          <w:sz w:val="22"/>
          <w:szCs w:val="22"/>
        </w:rPr>
        <w:t xml:space="preserve"> O</w:t>
      </w:r>
      <w:r w:rsidRPr="006E7172">
        <w:rPr>
          <w:rFonts w:asciiTheme="minorHAnsi" w:hAnsiTheme="minorHAnsi" w:cstheme="minorHAnsi"/>
          <w:sz w:val="22"/>
          <w:szCs w:val="22"/>
        </w:rPr>
        <w:t>ne pump bottle of lotion will be provided for you.  After that, you will need to provide your own choice of lubricant (</w:t>
      </w:r>
      <w:r w:rsidRPr="006E7172">
        <w:rPr>
          <w:rFonts w:asciiTheme="minorHAnsi" w:hAnsiTheme="minorHAnsi" w:cstheme="minorHAnsi"/>
          <w:b/>
          <w:sz w:val="22"/>
          <w:szCs w:val="22"/>
        </w:rPr>
        <w:t>lotion, cream, or gel</w:t>
      </w:r>
      <w:r w:rsidRPr="006E7172">
        <w:rPr>
          <w:rFonts w:asciiTheme="minorHAnsi" w:hAnsiTheme="minorHAnsi" w:cstheme="minorHAnsi"/>
          <w:sz w:val="22"/>
          <w:szCs w:val="22"/>
        </w:rPr>
        <w:t xml:space="preserve">) as well as a </w:t>
      </w:r>
      <w:r w:rsidRPr="006E7172">
        <w:rPr>
          <w:rFonts w:asciiTheme="minorHAnsi" w:hAnsiTheme="minorHAnsi" w:cstheme="minorHAnsi"/>
          <w:b/>
          <w:sz w:val="22"/>
          <w:szCs w:val="22"/>
        </w:rPr>
        <w:t>holster</w:t>
      </w:r>
      <w:r w:rsidRPr="006E7172">
        <w:rPr>
          <w:rFonts w:asciiTheme="minorHAnsi" w:hAnsiTheme="minorHAnsi" w:cstheme="minorHAnsi"/>
          <w:sz w:val="22"/>
          <w:szCs w:val="22"/>
        </w:rPr>
        <w:t xml:space="preserve"> or apron.  The use of oil is not allowed in the classroom or clinic.</w:t>
      </w:r>
    </w:p>
    <w:p w14:paraId="61B4667F" w14:textId="226A713F"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Black ink pen (for writing SOAP notes)</w:t>
      </w:r>
    </w:p>
    <w:p w14:paraId="337DA035" w14:textId="190CCE09" w:rsidR="00CE64B8" w:rsidRPr="007779F3"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Hand sanitizer, paper towels/face cradle covers ($10)</w:t>
      </w:r>
    </w:p>
    <w:p w14:paraId="109D5645" w14:textId="1186847E"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sz w:val="22"/>
          <w:szCs w:val="22"/>
        </w:rPr>
        <w:t>Appointment book ($5-$</w:t>
      </w:r>
      <w:r>
        <w:rPr>
          <w:rFonts w:asciiTheme="minorHAnsi" w:hAnsiTheme="minorHAnsi" w:cstheme="minorHAnsi"/>
          <w:sz w:val="22"/>
          <w:szCs w:val="22"/>
        </w:rPr>
        <w:t>3</w:t>
      </w:r>
      <w:r w:rsidRPr="00A92890">
        <w:rPr>
          <w:rFonts w:asciiTheme="minorHAnsi" w:hAnsiTheme="minorHAnsi" w:cstheme="minorHAnsi"/>
          <w:sz w:val="22"/>
          <w:szCs w:val="22"/>
        </w:rPr>
        <w:t>0)</w:t>
      </w:r>
    </w:p>
    <w:p w14:paraId="3D89BC95" w14:textId="397AC942" w:rsidR="00CE64B8" w:rsidRPr="007779F3" w:rsidRDefault="00CE64B8" w:rsidP="007779F3">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Pr>
          <w:rFonts w:asciiTheme="minorHAnsi" w:hAnsiTheme="minorHAnsi" w:cstheme="minorHAnsi"/>
          <w:sz w:val="22"/>
          <w:szCs w:val="22"/>
        </w:rPr>
        <w:t>Colored pencils ($5)</w:t>
      </w:r>
    </w:p>
    <w:p w14:paraId="6814624A" w14:textId="77777777" w:rsidR="00CE64B8" w:rsidRDefault="00CE64B8" w:rsidP="00CE64B8">
      <w:pPr>
        <w:pStyle w:val="ListParagraph"/>
        <w:widowControl w:val="0"/>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r w:rsidRPr="00A92890">
        <w:rPr>
          <w:rFonts w:asciiTheme="minorHAnsi" w:hAnsiTheme="minorHAnsi" w:cstheme="minorHAnsi"/>
          <w:b/>
          <w:sz w:val="22"/>
          <w:szCs w:val="22"/>
        </w:rPr>
        <w:t>Required</w:t>
      </w:r>
      <w:proofErr w:type="gramStart"/>
      <w:r w:rsidRPr="00A92890">
        <w:rPr>
          <w:rFonts w:asciiTheme="minorHAnsi" w:hAnsiTheme="minorHAnsi" w:cstheme="minorHAnsi"/>
          <w:b/>
          <w:sz w:val="22"/>
          <w:szCs w:val="22"/>
        </w:rPr>
        <w:t xml:space="preserve">:  </w:t>
      </w:r>
      <w:r w:rsidRPr="00A92890">
        <w:rPr>
          <w:rFonts w:asciiTheme="minorHAnsi" w:hAnsiTheme="minorHAnsi" w:cstheme="minorHAnsi"/>
          <w:sz w:val="22"/>
          <w:szCs w:val="22"/>
        </w:rPr>
        <w:t>Clinic</w:t>
      </w:r>
      <w:r>
        <w:rPr>
          <w:rFonts w:asciiTheme="minorHAnsi" w:hAnsiTheme="minorHAnsi" w:cstheme="minorHAnsi"/>
          <w:sz w:val="22"/>
          <w:szCs w:val="22"/>
        </w:rPr>
        <w:t>al</w:t>
      </w:r>
      <w:proofErr w:type="gramEnd"/>
      <w:r>
        <w:rPr>
          <w:rFonts w:asciiTheme="minorHAnsi" w:hAnsiTheme="minorHAnsi" w:cstheme="minorHAnsi"/>
          <w:sz w:val="22"/>
          <w:szCs w:val="22"/>
        </w:rPr>
        <w:t xml:space="preserve"> </w:t>
      </w:r>
      <w:r w:rsidRPr="00A92890">
        <w:rPr>
          <w:rFonts w:asciiTheme="minorHAnsi" w:hAnsiTheme="minorHAnsi" w:cstheme="minorHAnsi"/>
          <w:sz w:val="22"/>
          <w:szCs w:val="22"/>
        </w:rPr>
        <w:t>dress ($40-$100) S</w:t>
      </w:r>
      <w:r>
        <w:rPr>
          <w:rFonts w:asciiTheme="minorHAnsi" w:hAnsiTheme="minorHAnsi" w:cstheme="minorHAnsi"/>
          <w:sz w:val="22"/>
          <w:szCs w:val="22"/>
        </w:rPr>
        <w:t xml:space="preserve">ee page 9 </w:t>
      </w:r>
      <w:r w:rsidRPr="00A92890">
        <w:rPr>
          <w:rFonts w:asciiTheme="minorHAnsi" w:hAnsiTheme="minorHAnsi" w:cstheme="minorHAnsi"/>
          <w:sz w:val="22"/>
          <w:szCs w:val="22"/>
        </w:rPr>
        <w:t>for more information.</w:t>
      </w:r>
    </w:p>
    <w:p w14:paraId="12C7EC66" w14:textId="77777777" w:rsidR="007779F3" w:rsidRPr="00A92890" w:rsidRDefault="007779F3" w:rsidP="007779F3">
      <w:pPr>
        <w:pStyle w:val="ListParagraph"/>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inorHAnsi" w:hAnsiTheme="minorHAnsi" w:cstheme="minorHAnsi"/>
          <w:sz w:val="22"/>
          <w:szCs w:val="22"/>
        </w:rPr>
      </w:pPr>
    </w:p>
    <w:p w14:paraId="710B99A1" w14:textId="77777777" w:rsidR="00CE64B8" w:rsidRPr="00FE40A5" w:rsidRDefault="00CE64B8" w:rsidP="00CE64B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432" w:hanging="432"/>
        <w:rPr>
          <w:rFonts w:asciiTheme="minorHAnsi" w:hAnsiTheme="minorHAnsi" w:cstheme="minorHAnsi"/>
          <w:sz w:val="22"/>
          <w:szCs w:val="22"/>
          <w:u w:val="single"/>
        </w:rPr>
      </w:pPr>
      <w:r w:rsidRPr="00FE40A5">
        <w:rPr>
          <w:rFonts w:asciiTheme="minorHAnsi" w:hAnsiTheme="minorHAnsi" w:cstheme="minorHAnsi"/>
          <w:sz w:val="22"/>
          <w:szCs w:val="22"/>
          <w:u w:val="single"/>
        </w:rPr>
        <w:t>Theory and Anatomy &amp; Physiology classes</w:t>
      </w:r>
    </w:p>
    <w:p w14:paraId="2A193186" w14:textId="386FE0C0" w:rsidR="00DF2441" w:rsidRPr="00CE64B8" w:rsidRDefault="00CE64B8" w:rsidP="00CE64B8">
      <w:pPr>
        <w:pStyle w:val="ListParagraph"/>
        <w:widowControl w:val="0"/>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Theme="majorHAnsi" w:hAnsiTheme="majorHAnsi" w:cstheme="minorHAnsi"/>
          <w:b/>
          <w:bCs/>
          <w:sz w:val="28"/>
          <w:szCs w:val="28"/>
        </w:rPr>
      </w:pPr>
      <w:r w:rsidRPr="00DD0EBF">
        <w:rPr>
          <w:rFonts w:asciiTheme="minorHAnsi" w:hAnsiTheme="minorHAnsi" w:cstheme="minorHAnsi"/>
          <w:sz w:val="22"/>
          <w:szCs w:val="22"/>
        </w:rPr>
        <w:t xml:space="preserve">Three individual three-ring binders, notebooks or folders for theory, anatomy and physiology, and elective courses for notetaking.  You may also want to keep your class schedules, school memos, and any other general CIMT information in one of your notebooks.  </w:t>
      </w:r>
      <w:r w:rsidRPr="00DD0EBF">
        <w:rPr>
          <w:rFonts w:asciiTheme="majorHAnsi" w:hAnsiTheme="majorHAnsi" w:cstheme="minorHAnsi"/>
          <w:b/>
          <w:bCs/>
          <w:sz w:val="28"/>
          <w:szCs w:val="28"/>
        </w:rPr>
        <w:t xml:space="preserve">                                                             </w:t>
      </w:r>
    </w:p>
    <w:sectPr w:rsidR="00DF2441" w:rsidRPr="00CE6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A2B"/>
    <w:multiLevelType w:val="hybridMultilevel"/>
    <w:tmpl w:val="597AE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372B1"/>
    <w:multiLevelType w:val="hybridMultilevel"/>
    <w:tmpl w:val="A7FAD31C"/>
    <w:lvl w:ilvl="0" w:tplc="759696A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6220599">
    <w:abstractNumId w:val="1"/>
  </w:num>
  <w:num w:numId="2" w16cid:durableId="159547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B8"/>
    <w:rsid w:val="003946F3"/>
    <w:rsid w:val="00476810"/>
    <w:rsid w:val="004F0D3D"/>
    <w:rsid w:val="00550844"/>
    <w:rsid w:val="007779F3"/>
    <w:rsid w:val="008D02FC"/>
    <w:rsid w:val="00A10487"/>
    <w:rsid w:val="00CE64B8"/>
    <w:rsid w:val="00DA57DD"/>
    <w:rsid w:val="00DF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899C"/>
  <w15:chartTrackingRefBased/>
  <w15:docId w15:val="{70319D16-51EA-4F16-8DB7-8A943467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B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E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4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B8"/>
    <w:rPr>
      <w:rFonts w:eastAsiaTheme="majorEastAsia" w:cstheme="majorBidi"/>
      <w:color w:val="272727" w:themeColor="text1" w:themeTint="D8"/>
    </w:rPr>
  </w:style>
  <w:style w:type="paragraph" w:styleId="Title">
    <w:name w:val="Title"/>
    <w:basedOn w:val="Normal"/>
    <w:next w:val="Normal"/>
    <w:link w:val="TitleChar"/>
    <w:uiPriority w:val="10"/>
    <w:qFormat/>
    <w:rsid w:val="00CE64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B8"/>
    <w:pPr>
      <w:spacing w:before="160"/>
      <w:jc w:val="center"/>
    </w:pPr>
    <w:rPr>
      <w:i/>
      <w:iCs/>
      <w:color w:val="404040" w:themeColor="text1" w:themeTint="BF"/>
    </w:rPr>
  </w:style>
  <w:style w:type="character" w:customStyle="1" w:styleId="QuoteChar">
    <w:name w:val="Quote Char"/>
    <w:basedOn w:val="DefaultParagraphFont"/>
    <w:link w:val="Quote"/>
    <w:uiPriority w:val="29"/>
    <w:rsid w:val="00CE64B8"/>
    <w:rPr>
      <w:i/>
      <w:iCs/>
      <w:color w:val="404040" w:themeColor="text1" w:themeTint="BF"/>
    </w:rPr>
  </w:style>
  <w:style w:type="paragraph" w:styleId="ListParagraph">
    <w:name w:val="List Paragraph"/>
    <w:basedOn w:val="Normal"/>
    <w:uiPriority w:val="34"/>
    <w:qFormat/>
    <w:rsid w:val="00CE64B8"/>
    <w:pPr>
      <w:ind w:left="720"/>
      <w:contextualSpacing/>
    </w:pPr>
  </w:style>
  <w:style w:type="character" w:styleId="IntenseEmphasis">
    <w:name w:val="Intense Emphasis"/>
    <w:basedOn w:val="DefaultParagraphFont"/>
    <w:uiPriority w:val="21"/>
    <w:qFormat/>
    <w:rsid w:val="00CE64B8"/>
    <w:rPr>
      <w:i/>
      <w:iCs/>
      <w:color w:val="0F4761" w:themeColor="accent1" w:themeShade="BF"/>
    </w:rPr>
  </w:style>
  <w:style w:type="paragraph" w:styleId="IntenseQuote">
    <w:name w:val="Intense Quote"/>
    <w:basedOn w:val="Normal"/>
    <w:next w:val="Normal"/>
    <w:link w:val="IntenseQuoteChar"/>
    <w:uiPriority w:val="30"/>
    <w:qFormat/>
    <w:rsid w:val="00CE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4B8"/>
    <w:rPr>
      <w:i/>
      <w:iCs/>
      <w:color w:val="0F4761" w:themeColor="accent1" w:themeShade="BF"/>
    </w:rPr>
  </w:style>
  <w:style w:type="character" w:styleId="IntenseReference">
    <w:name w:val="Intense Reference"/>
    <w:basedOn w:val="DefaultParagraphFont"/>
    <w:uiPriority w:val="32"/>
    <w:qFormat/>
    <w:rsid w:val="00CE64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Mariani</dc:creator>
  <cp:keywords/>
  <dc:description/>
  <cp:lastModifiedBy>Andreas Mariani</cp:lastModifiedBy>
  <cp:revision>4</cp:revision>
  <dcterms:created xsi:type="dcterms:W3CDTF">2025-01-23T21:50:00Z</dcterms:created>
  <dcterms:modified xsi:type="dcterms:W3CDTF">2025-10-23T20:14:00Z</dcterms:modified>
</cp:coreProperties>
</file>